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639A355A" w:rsidR="00385905" w:rsidRDefault="000320A6" w:rsidP="00385905">
      <w:pPr>
        <w:jc w:val="center"/>
        <w:rPr>
          <w:rFonts w:ascii="Arial" w:hAnsi="Arial" w:cs="Arial"/>
          <w:b/>
          <w:bCs/>
          <w:sz w:val="32"/>
          <w:szCs w:val="32"/>
        </w:rPr>
      </w:pPr>
      <w:r>
        <w:rPr>
          <w:rFonts w:ascii="Arial" w:hAnsi="Arial" w:cs="Arial"/>
          <w:b/>
          <w:bCs/>
          <w:sz w:val="32"/>
          <w:szCs w:val="32"/>
        </w:rPr>
        <w:t>THE RIDGEWAY SURGERY</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bookmarkStart w:id="0" w:name="_GoBack"/>
      <w:bookmarkEnd w:id="0"/>
    </w:p>
    <w:p w14:paraId="60B5479B" w14:textId="77777777" w:rsidR="00385905" w:rsidRDefault="00385905">
      <w:pPr>
        <w:rPr>
          <w:rFonts w:ascii="Arial" w:hAnsi="Arial" w:cs="Arial"/>
          <w:b/>
          <w:bCs/>
          <w:sz w:val="20"/>
          <w:szCs w:val="20"/>
        </w:rPr>
      </w:pPr>
    </w:p>
    <w:p w14:paraId="794771CA" w14:textId="2B42AA0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58009D">
        <w:rPr>
          <w:rFonts w:ascii="Arial" w:hAnsi="Arial" w:cs="Arial"/>
          <w:b/>
          <w:bCs/>
          <w:sz w:val="20"/>
          <w:szCs w:val="20"/>
        </w:rPr>
        <w:t>4</w:t>
      </w:r>
    </w:p>
    <w:p w14:paraId="42CAF92D" w14:textId="2424B19B"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58009D">
        <w:rPr>
          <w:rFonts w:ascii="Arial" w:hAnsi="Arial" w:cs="Arial"/>
          <w:b/>
          <w:bCs/>
          <w:sz w:val="20"/>
          <w:szCs w:val="20"/>
        </w:rPr>
        <w:t>26/06/2025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18579031" w14:textId="3773AE5B" w:rsidR="00754729" w:rsidRPr="0049371B" w:rsidRDefault="000320A6"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The Ridgeway Surgery</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2194C05D"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0320A6">
        <w:rPr>
          <w:rFonts w:ascii="Arial" w:hAnsi="Arial" w:cs="Arial"/>
          <w:sz w:val="20"/>
          <w:szCs w:val="20"/>
        </w:rPr>
        <w:t>The Ridgeway Surgery</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5A43F332" w:rsidR="00E37206" w:rsidRPr="0049371B" w:rsidRDefault="000320A6" w:rsidP="00E37206">
      <w:pPr>
        <w:widowControl w:val="0"/>
        <w:spacing w:after="280"/>
        <w:rPr>
          <w:rFonts w:ascii="Arial" w:hAnsi="Arial" w:cs="Arial"/>
          <w:sz w:val="20"/>
          <w:szCs w:val="20"/>
        </w:rPr>
      </w:pPr>
      <w:r>
        <w:rPr>
          <w:rFonts w:ascii="Arial" w:hAnsi="Arial" w:cs="Arial"/>
          <w:sz w:val="20"/>
          <w:szCs w:val="20"/>
        </w:rPr>
        <w:t>The Ridgeway Surgery</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19"/>
      <w:r w:rsidRPr="0049371B">
        <w:rPr>
          <w:rFonts w:ascii="Arial" w:hAnsi="Arial" w:cs="Arial"/>
          <w:color w:val="auto"/>
          <w:sz w:val="20"/>
          <w:szCs w:val="20"/>
        </w:rPr>
        <w:t>Legal justification for collecting and using your information</w:t>
      </w:r>
      <w:bookmarkEnd w:id="2"/>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3" w:name="_Toc31368620"/>
      <w:r w:rsidRPr="0049371B">
        <w:rPr>
          <w:rFonts w:ascii="Arial" w:hAnsi="Arial" w:cs="Arial"/>
          <w:color w:val="auto"/>
          <w:sz w:val="20"/>
          <w:szCs w:val="20"/>
        </w:rPr>
        <w:t>Special categories</w:t>
      </w:r>
      <w:bookmarkEnd w:id="3"/>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5664C02D" w14:textId="3B7C7B8A" w:rsidR="00FC6FFA" w:rsidRPr="0049371B" w:rsidRDefault="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r w:rsidR="000320A6">
        <w:rPr>
          <w:rFonts w:ascii="Arial" w:hAnsi="Arial" w:cs="Arial"/>
          <w:sz w:val="20"/>
          <w:szCs w:val="20"/>
        </w:rPr>
        <w:br/>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t>GP Connect System and Data Sharing</w:t>
      </w:r>
    </w:p>
    <w:p w14:paraId="0A8A9007" w14:textId="507D95CA" w:rsidR="0050353A" w:rsidRPr="0049371B" w:rsidRDefault="000320A6" w:rsidP="0050353A">
      <w:pPr>
        <w:pStyle w:val="nhsd-t-body"/>
        <w:rPr>
          <w:rFonts w:ascii="Arial" w:hAnsi="Arial" w:cs="Arial"/>
          <w:color w:val="000000" w:themeColor="text1"/>
          <w:sz w:val="20"/>
          <w:szCs w:val="20"/>
        </w:rPr>
      </w:pPr>
      <w:r>
        <w:rPr>
          <w:rFonts w:ascii="Arial" w:hAnsi="Arial" w:cs="Arial"/>
          <w:color w:val="000000" w:themeColor="text1"/>
          <w:sz w:val="20"/>
          <w:szCs w:val="20"/>
        </w:rPr>
        <w:t>The Ridgeway Surgery</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8"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319C3147" w:rsidR="0050353A"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501B49F5" w14:textId="41F11BB0" w:rsidR="000320A6" w:rsidRDefault="000320A6" w:rsidP="0050353A">
      <w:pPr>
        <w:rPr>
          <w:rFonts w:ascii="Arial" w:hAnsi="Arial" w:cs="Arial"/>
          <w:color w:val="000000" w:themeColor="text1"/>
          <w:sz w:val="20"/>
          <w:szCs w:val="20"/>
        </w:rPr>
      </w:pPr>
    </w:p>
    <w:p w14:paraId="59C0070D" w14:textId="36DB6EF1" w:rsidR="000320A6" w:rsidRDefault="000320A6" w:rsidP="0050353A">
      <w:pPr>
        <w:rPr>
          <w:rFonts w:ascii="Arial" w:hAnsi="Arial" w:cs="Arial"/>
          <w:color w:val="000000" w:themeColor="text1"/>
          <w:sz w:val="20"/>
          <w:szCs w:val="20"/>
        </w:rPr>
      </w:pPr>
    </w:p>
    <w:p w14:paraId="1B3BD8A3" w14:textId="77777777" w:rsidR="000320A6" w:rsidRPr="0049371B" w:rsidRDefault="000320A6" w:rsidP="0050353A">
      <w:pPr>
        <w:rPr>
          <w:rFonts w:ascii="Arial" w:hAnsi="Arial" w:cs="Arial"/>
          <w:color w:val="000000" w:themeColor="text1"/>
          <w:sz w:val="20"/>
          <w:szCs w:val="20"/>
        </w:rPr>
      </w:pP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Opting out of GP Connect</w:t>
      </w:r>
    </w:p>
    <w:p w14:paraId="5500E3CF" w14:textId="359030AD"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Pr="0049371B"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46C91FF2" w:rsidR="006229DE" w:rsidRPr="0049371B" w:rsidRDefault="006229DE" w:rsidP="006229DE">
      <w:pPr>
        <w:rPr>
          <w:rFonts w:ascii="Arial" w:hAnsi="Arial" w:cs="Arial"/>
          <w:sz w:val="20"/>
          <w:szCs w:val="20"/>
        </w:rPr>
      </w:pPr>
      <w:r w:rsidRPr="0049371B">
        <w:rPr>
          <w:rFonts w:ascii="Arial" w:hAnsi="Arial" w:cs="Arial"/>
          <w:sz w:val="20"/>
          <w:szCs w:val="20"/>
        </w:rPr>
        <w:t>The paper patie</w:t>
      </w:r>
      <w:r w:rsidR="00A33E3A">
        <w:rPr>
          <w:rFonts w:ascii="Arial" w:hAnsi="Arial" w:cs="Arial"/>
          <w:sz w:val="20"/>
          <w:szCs w:val="20"/>
        </w:rPr>
        <w:t>nt records will be shared with NEC Ltd (scanning provider)</w:t>
      </w:r>
      <w:r w:rsidRPr="0049371B">
        <w:rPr>
          <w:rFonts w:ascii="Arial" w:hAnsi="Arial" w:cs="Arial"/>
          <w:sz w:val="20"/>
          <w:szCs w:val="20"/>
        </w:rPr>
        <w:t>,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4" w:name="_Toc31368622"/>
      <w:r w:rsidRPr="0049371B">
        <w:rPr>
          <w:rFonts w:ascii="Arial" w:hAnsi="Arial" w:cs="Arial"/>
          <w:b/>
          <w:bCs/>
          <w:color w:val="auto"/>
          <w:sz w:val="20"/>
          <w:szCs w:val="20"/>
        </w:rPr>
        <w:t>Anonymised information</w:t>
      </w:r>
      <w:bookmarkEnd w:id="4"/>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lastRenderedPageBreak/>
        <w:t xml:space="preserve">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9" w:tgtFrame="_blank" w:history="1">
        <w:r w:rsidRPr="0049371B">
          <w:rPr>
            <w:rStyle w:val="Hyperlink"/>
            <w:rFonts w:ascii="Arial" w:hAnsi="Arial" w:cs="Arial"/>
            <w:sz w:val="20"/>
            <w:szCs w:val="20"/>
          </w:rPr>
          <w:t>https://local.nihr.ac.uk/documents/crn-wm-privacy-notice-march-2021/27187</w:t>
        </w:r>
      </w:hyperlink>
    </w:p>
    <w:p w14:paraId="2F10BD52" w14:textId="06C92C30" w:rsidR="00C16FFD" w:rsidRPr="0049371B" w:rsidRDefault="000320A6" w:rsidP="00C16FFD">
      <w:pPr>
        <w:pStyle w:val="Heading2"/>
        <w:rPr>
          <w:rFonts w:ascii="Arial" w:hAnsi="Arial" w:cs="Arial"/>
          <w:color w:val="000000" w:themeColor="text1"/>
          <w:sz w:val="20"/>
          <w:szCs w:val="20"/>
        </w:rPr>
      </w:pPr>
      <w:r>
        <w:rPr>
          <w:rFonts w:ascii="Arial" w:hAnsi="Arial" w:cs="Arial"/>
          <w:color w:val="000000" w:themeColor="text1"/>
          <w:sz w:val="20"/>
          <w:szCs w:val="20"/>
        </w:rPr>
        <w:t>S</w:t>
      </w:r>
      <w:r w:rsidR="00C16FFD" w:rsidRPr="0049371B">
        <w:rPr>
          <w:rFonts w:ascii="Arial" w:hAnsi="Arial" w:cs="Arial"/>
          <w:color w:val="000000" w:themeColor="text1"/>
          <w:sz w:val="20"/>
          <w:szCs w:val="20"/>
        </w:rPr>
        <w:t>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0"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6EB0F49E" w:rsidR="00C16FFD" w:rsidRDefault="00C16FFD" w:rsidP="00C16FFD">
      <w:pPr>
        <w:rPr>
          <w:rFonts w:ascii="Arial" w:hAnsi="Arial" w:cs="Arial"/>
          <w:color w:val="000000" w:themeColor="text1"/>
          <w:sz w:val="20"/>
          <w:szCs w:val="20"/>
        </w:rPr>
      </w:pPr>
    </w:p>
    <w:p w14:paraId="15A540AB" w14:textId="7FAEAFEB" w:rsidR="000320A6" w:rsidRDefault="000320A6" w:rsidP="00C16FFD">
      <w:pPr>
        <w:rPr>
          <w:rFonts w:ascii="Arial" w:hAnsi="Arial" w:cs="Arial"/>
          <w:color w:val="000000" w:themeColor="text1"/>
          <w:sz w:val="20"/>
          <w:szCs w:val="20"/>
        </w:rPr>
      </w:pPr>
    </w:p>
    <w:p w14:paraId="6B9FB55E" w14:textId="68FDBFAC" w:rsidR="000320A6" w:rsidRDefault="000320A6" w:rsidP="00C16FFD">
      <w:pPr>
        <w:rPr>
          <w:rFonts w:ascii="Arial" w:hAnsi="Arial" w:cs="Arial"/>
          <w:color w:val="000000" w:themeColor="text1"/>
          <w:sz w:val="20"/>
          <w:szCs w:val="20"/>
        </w:rPr>
      </w:pPr>
    </w:p>
    <w:p w14:paraId="69AF124F" w14:textId="77777777" w:rsidR="000320A6" w:rsidRPr="0049371B" w:rsidRDefault="000320A6"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C5E3EF5" w:rsidR="00646A1E" w:rsidRDefault="00646A1E" w:rsidP="00646A1E">
      <w:pPr>
        <w:pStyle w:val="nhsd-t-body"/>
        <w:spacing w:before="0" w:beforeAutospacing="0" w:after="0" w:afterAutospacing="0"/>
        <w:jc w:val="both"/>
        <w:rPr>
          <w:rFonts w:ascii="Arial" w:hAnsi="Arial" w:cs="Arial"/>
          <w:color w:val="000000" w:themeColor="text1"/>
          <w:sz w:val="20"/>
          <w:szCs w:val="20"/>
        </w:rPr>
      </w:pPr>
    </w:p>
    <w:p w14:paraId="46A22A2D" w14:textId="5638CCD9" w:rsidR="000320A6" w:rsidRDefault="000320A6" w:rsidP="00646A1E">
      <w:pPr>
        <w:pStyle w:val="nhsd-t-body"/>
        <w:spacing w:before="0" w:beforeAutospacing="0" w:after="0" w:afterAutospacing="0"/>
        <w:jc w:val="both"/>
        <w:rPr>
          <w:rFonts w:ascii="Arial" w:hAnsi="Arial" w:cs="Arial"/>
          <w:color w:val="000000" w:themeColor="text1"/>
          <w:sz w:val="20"/>
          <w:szCs w:val="20"/>
        </w:rPr>
      </w:pPr>
    </w:p>
    <w:p w14:paraId="5C178C21" w14:textId="0E67AC07" w:rsidR="000320A6" w:rsidRDefault="000320A6" w:rsidP="00646A1E">
      <w:pPr>
        <w:pStyle w:val="nhsd-t-body"/>
        <w:spacing w:before="0" w:beforeAutospacing="0" w:after="0" w:afterAutospacing="0"/>
        <w:jc w:val="both"/>
        <w:rPr>
          <w:rFonts w:ascii="Arial" w:hAnsi="Arial" w:cs="Arial"/>
          <w:color w:val="000000" w:themeColor="text1"/>
          <w:sz w:val="20"/>
          <w:szCs w:val="20"/>
        </w:rPr>
      </w:pPr>
    </w:p>
    <w:p w14:paraId="3A3F3A72" w14:textId="77777777" w:rsidR="000320A6" w:rsidRPr="0049371B" w:rsidRDefault="000320A6" w:rsidP="00646A1E">
      <w:pPr>
        <w:pStyle w:val="nhsd-t-body"/>
        <w:spacing w:before="0" w:beforeAutospacing="0" w:after="0" w:afterAutospacing="0"/>
        <w:jc w:val="both"/>
        <w:rPr>
          <w:rFonts w:ascii="Arial" w:hAnsi="Arial" w:cs="Arial"/>
          <w:color w:val="000000" w:themeColor="text1"/>
          <w:sz w:val="20"/>
          <w:szCs w:val="20"/>
        </w:rPr>
      </w:pPr>
    </w:p>
    <w:p w14:paraId="48040F29" w14:textId="26B20035" w:rsidR="00646A1E"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15BEAE19" w14:textId="77777777" w:rsidR="000320A6" w:rsidRPr="0049371B" w:rsidRDefault="000320A6" w:rsidP="00646A1E">
      <w:pPr>
        <w:widowControl w:val="0"/>
        <w:rPr>
          <w:rFonts w:ascii="Arial" w:hAnsi="Arial" w:cs="Arial"/>
          <w:b/>
          <w:sz w:val="20"/>
          <w:szCs w:val="20"/>
        </w:rPr>
      </w:pPr>
    </w:p>
    <w:p w14:paraId="5EC6697D" w14:textId="77777777" w:rsidR="00646A1E" w:rsidRPr="0049371B" w:rsidRDefault="00646A1E" w:rsidP="00646A1E">
      <w:pPr>
        <w:rPr>
          <w:rFonts w:ascii="Arial" w:hAnsi="Arial" w:cs="Arial"/>
          <w:sz w:val="20"/>
          <w:szCs w:val="20"/>
        </w:rPr>
      </w:pPr>
      <w:bookmarkStart w:id="5"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4F29BB70" w:rsidR="00646A1E"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0F08A709" w14:textId="77777777" w:rsidR="000320A6" w:rsidRPr="0049371B" w:rsidRDefault="000320A6" w:rsidP="00646A1E">
      <w:pPr>
        <w:rPr>
          <w:rFonts w:ascii="Arial" w:hAnsi="Arial" w:cs="Arial"/>
          <w:sz w:val="20"/>
          <w:szCs w:val="20"/>
        </w:rPr>
      </w:pPr>
    </w:p>
    <w:p w14:paraId="5C11DE0B" w14:textId="4BDC756E" w:rsidR="00646A1E" w:rsidRDefault="00646A1E" w:rsidP="00646A1E">
      <w:pPr>
        <w:widowControl w:val="0"/>
        <w:rPr>
          <w:rFonts w:ascii="Arial" w:hAnsi="Arial" w:cs="Arial"/>
          <w:b/>
          <w:sz w:val="20"/>
          <w:szCs w:val="20"/>
        </w:rPr>
      </w:pPr>
      <w:r w:rsidRPr="0049371B">
        <w:rPr>
          <w:rFonts w:ascii="Arial" w:hAnsi="Arial" w:cs="Arial"/>
          <w:b/>
          <w:sz w:val="20"/>
          <w:szCs w:val="20"/>
        </w:rPr>
        <w:t>The NHS App</w:t>
      </w:r>
    </w:p>
    <w:p w14:paraId="6391E1D0" w14:textId="77777777" w:rsidR="000320A6" w:rsidRPr="0049371B" w:rsidRDefault="000320A6" w:rsidP="00646A1E">
      <w:pPr>
        <w:widowControl w:val="0"/>
        <w:rPr>
          <w:rFonts w:ascii="Arial" w:hAnsi="Arial" w:cs="Arial"/>
          <w:b/>
          <w:sz w:val="20"/>
          <w:szCs w:val="20"/>
        </w:rPr>
      </w:pP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5"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5"/>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58009D" w:rsidP="00F61503">
      <w:pPr>
        <w:spacing w:before="126" w:after="126" w:line="300" w:lineRule="atLeast"/>
        <w:rPr>
          <w:rFonts w:ascii="Arial" w:hAnsi="Arial" w:cs="Arial"/>
          <w:sz w:val="20"/>
          <w:szCs w:val="20"/>
        </w:rPr>
      </w:pPr>
      <w:hyperlink r:id="rId16" w:history="1">
        <w:r w:rsidR="00410F48" w:rsidRPr="0049371B">
          <w:rPr>
            <w:rStyle w:val="Hyperlink"/>
            <w:rFonts w:ascii="Arial" w:hAnsi="Arial" w:cs="Arial"/>
            <w:sz w:val="20"/>
            <w:szCs w:val="20"/>
          </w:rPr>
          <w:t>https://cprd.com/transparency-information</w:t>
        </w:r>
      </w:hyperlink>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7"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9"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0"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14C8DF82" w14:textId="6E90D522"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1"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2"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3"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6"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454D5AC2" w:rsidR="000104B3" w:rsidRDefault="000104B3" w:rsidP="000104B3">
      <w:pPr>
        <w:pStyle w:val="NormalWeb"/>
        <w:spacing w:line="360" w:lineRule="atLeast"/>
        <w:rPr>
          <w:rStyle w:val="Emphasis"/>
          <w:rFonts w:ascii="Arial" w:hAnsi="Arial" w:cs="Arial"/>
          <w:i w:val="0"/>
          <w:iCs w:val="0"/>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439FA369" w14:textId="77777777" w:rsidR="000320A6" w:rsidRPr="0049371B" w:rsidRDefault="000320A6" w:rsidP="000104B3">
      <w:pPr>
        <w:pStyle w:val="NormalWeb"/>
        <w:spacing w:line="360" w:lineRule="atLeast"/>
        <w:rPr>
          <w:rFonts w:ascii="Arial" w:eastAsiaTheme="minorHAnsi" w:hAnsi="Arial" w:cs="Arial"/>
          <w:i/>
          <w:iCs/>
          <w:sz w:val="20"/>
          <w:szCs w:val="20"/>
        </w:rPr>
      </w:pPr>
    </w:p>
    <w:p w14:paraId="1A9ED6EB" w14:textId="5E4CD24D" w:rsidR="00A200C1"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442CC809" w14:textId="77777777" w:rsidR="000320A6" w:rsidRPr="0049371B" w:rsidRDefault="000320A6" w:rsidP="00A200C1">
      <w:pPr>
        <w:widowControl w:val="0"/>
        <w:rPr>
          <w:rFonts w:ascii="Arial" w:hAnsi="Arial" w:cs="Arial"/>
          <w:b/>
          <w:sz w:val="20"/>
          <w:szCs w:val="20"/>
        </w:rPr>
      </w:pP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754518C1"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0320A6">
        <w:rPr>
          <w:rFonts w:ascii="Arial" w:hAnsi="Arial" w:cs="Arial"/>
          <w:sz w:val="20"/>
          <w:szCs w:val="20"/>
        </w:rPr>
        <w:t>The Ridgeway Surgery</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0502E8F9" w:rsidR="004E2C36" w:rsidRDefault="004E2C36" w:rsidP="006173EC">
      <w:pPr>
        <w:widowControl w:val="0"/>
        <w:spacing w:after="280"/>
        <w:jc w:val="center"/>
        <w:rPr>
          <w:rFonts w:ascii="Arial" w:hAnsi="Arial" w:cs="Arial"/>
          <w:b/>
          <w:i/>
          <w:sz w:val="20"/>
          <w:szCs w:val="20"/>
        </w:rPr>
      </w:pPr>
    </w:p>
    <w:p w14:paraId="5BB05AEB" w14:textId="179CC7A2" w:rsidR="000320A6" w:rsidRDefault="000320A6" w:rsidP="006173EC">
      <w:pPr>
        <w:widowControl w:val="0"/>
        <w:spacing w:after="280"/>
        <w:jc w:val="center"/>
        <w:rPr>
          <w:rFonts w:ascii="Arial" w:hAnsi="Arial" w:cs="Arial"/>
          <w:b/>
          <w:i/>
          <w:sz w:val="20"/>
          <w:szCs w:val="20"/>
        </w:rPr>
      </w:pPr>
    </w:p>
    <w:p w14:paraId="74A358A8" w14:textId="77777777" w:rsidR="000320A6" w:rsidRPr="0049371B" w:rsidRDefault="000320A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7"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8"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29"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7439609" w14:textId="12AC0A8F"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1"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2"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3"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4"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5"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6"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7"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8"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39"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0"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1"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3"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4"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5"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6"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49"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0"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1"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2"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3"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58009D" w:rsidP="00F51C46">
      <w:pPr>
        <w:rPr>
          <w:rFonts w:ascii="Arial" w:hAnsi="Arial" w:cs="Arial"/>
          <w:sz w:val="20"/>
          <w:szCs w:val="20"/>
        </w:rPr>
      </w:pPr>
      <w:hyperlink r:id="rId54"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58009D" w:rsidP="00F51C46">
      <w:pPr>
        <w:rPr>
          <w:rFonts w:ascii="Arial" w:hAnsi="Arial" w:cs="Arial"/>
          <w:sz w:val="20"/>
          <w:szCs w:val="20"/>
        </w:rPr>
      </w:pPr>
      <w:hyperlink r:id="rId55"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6D1DC1A0"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r w:rsidR="000320A6">
        <w:rPr>
          <w:rFonts w:ascii="Arial" w:hAnsi="Arial" w:cs="Arial"/>
          <w:sz w:val="20"/>
          <w:szCs w:val="20"/>
        </w:rPr>
        <w:br/>
      </w:r>
    </w:p>
    <w:p w14:paraId="2AB10919" w14:textId="299A0160"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r w:rsidR="000320A6">
        <w:rPr>
          <w:rFonts w:ascii="Arial" w:hAnsi="Arial" w:cs="Arial"/>
          <w:b/>
          <w:bCs/>
          <w:sz w:val="20"/>
          <w:szCs w:val="20"/>
        </w:rPr>
        <w:br/>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1433893C"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r w:rsidR="000320A6">
        <w:rPr>
          <w:rFonts w:ascii="Arial" w:hAnsi="Arial" w:cs="Arial"/>
          <w:sz w:val="20"/>
          <w:szCs w:val="20"/>
        </w:rPr>
        <w:br/>
      </w:r>
    </w:p>
    <w:p w14:paraId="59BF8A44" w14:textId="18246F9B"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r w:rsidR="000320A6">
        <w:rPr>
          <w:rFonts w:ascii="Arial" w:hAnsi="Arial" w:cs="Arial"/>
          <w:b/>
          <w:sz w:val="20"/>
          <w:szCs w:val="20"/>
        </w:rPr>
        <w:br/>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303C8A35"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0320A6">
        <w:rPr>
          <w:rFonts w:ascii="Arial" w:hAnsi="Arial" w:cs="Arial"/>
          <w:sz w:val="20"/>
          <w:szCs w:val="20"/>
        </w:rPr>
        <w:t>The Ridgeway Surgery</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48DA589C"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r w:rsidR="000320A6">
        <w:rPr>
          <w:rFonts w:ascii="Arial" w:hAnsi="Arial" w:cs="Arial"/>
          <w:b/>
          <w:sz w:val="20"/>
          <w:szCs w:val="20"/>
        </w:rPr>
        <w:br/>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58009D" w:rsidP="0020197A">
      <w:pPr>
        <w:widowControl w:val="0"/>
      </w:pPr>
      <w:hyperlink r:id="rId56" w:history="1">
        <w:r w:rsidR="00C62EAC"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B864790"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0320A6">
        <w:rPr>
          <w:rFonts w:ascii="Arial" w:hAnsi="Arial" w:cs="Arial"/>
          <w:sz w:val="20"/>
          <w:szCs w:val="20"/>
        </w:rPr>
        <w:br/>
      </w:r>
    </w:p>
    <w:p w14:paraId="0A323197" w14:textId="697458EB"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r w:rsidR="000320A6">
        <w:rPr>
          <w:rFonts w:ascii="Arial" w:hAnsi="Arial" w:cs="Arial"/>
          <w:b/>
          <w:sz w:val="20"/>
          <w:szCs w:val="20"/>
        </w:rPr>
        <w:br/>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4BF1E094"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A33E3A">
        <w:rPr>
          <w:rFonts w:ascii="Arial" w:hAnsi="Arial" w:cs="Arial"/>
          <w:sz w:val="20"/>
          <w:szCs w:val="20"/>
          <w:shd w:val="clear" w:color="auto" w:fill="FFFFFF"/>
        </w:rPr>
        <w:t>Sedgley, Coseley and Gornal PCN</w:t>
      </w:r>
      <w:r w:rsidRPr="0049371B">
        <w:rPr>
          <w:rFonts w:ascii="Arial" w:hAnsi="Arial" w:cs="Arial"/>
          <w:sz w:val="20"/>
          <w:szCs w:val="20"/>
          <w:shd w:val="clear" w:color="auto" w:fill="FFFFFF"/>
        </w:rPr>
        <w:t>.  Other members of the network are:</w:t>
      </w:r>
    </w:p>
    <w:p w14:paraId="189B958D" w14:textId="359A0F51" w:rsidR="00F52777" w:rsidRPr="0049371B" w:rsidRDefault="00A33E3A" w:rsidP="00F52777">
      <w:pPr>
        <w:rPr>
          <w:rFonts w:ascii="Arial" w:hAnsi="Arial" w:cs="Arial"/>
          <w:sz w:val="20"/>
          <w:szCs w:val="20"/>
          <w:shd w:val="clear" w:color="auto" w:fill="FFFFFF"/>
        </w:rPr>
      </w:pPr>
      <w:r>
        <w:rPr>
          <w:rFonts w:ascii="Arial" w:hAnsi="Arial" w:cs="Arial"/>
          <w:sz w:val="20"/>
          <w:szCs w:val="20"/>
          <w:shd w:val="clear" w:color="auto" w:fill="FFFFFF"/>
        </w:rPr>
        <w:t>The Northway Medical Practice, The Greens Health Centre, Lower Gornal Medical Practice, Woodsetton Medical Practice, Bath Street Medical Practice, Castle Meadows Surgery and Coseley Medical Centre.</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2F842815"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r w:rsidR="000320A6">
        <w:rPr>
          <w:rFonts w:ascii="Arial" w:hAnsi="Arial" w:cs="Arial"/>
          <w:b/>
          <w:bCs/>
          <w:sz w:val="20"/>
          <w:szCs w:val="20"/>
          <w:shd w:val="clear" w:color="auto" w:fill="FFFFFF"/>
        </w:rPr>
        <w:br/>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7"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8"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6" w:name="_Toc31368650"/>
      <w:r w:rsidRPr="0049371B">
        <w:rPr>
          <w:rFonts w:ascii="Arial" w:hAnsi="Arial" w:cs="Arial"/>
          <w:sz w:val="20"/>
          <w:szCs w:val="20"/>
        </w:rPr>
        <w:t>Online Access</w:t>
      </w:r>
      <w:bookmarkEnd w:id="6"/>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7" w:name="_Toc31368651"/>
      <w:r w:rsidRPr="0049371B">
        <w:rPr>
          <w:rFonts w:ascii="Arial" w:hAnsi="Arial" w:cs="Arial"/>
          <w:color w:val="auto"/>
          <w:sz w:val="20"/>
          <w:szCs w:val="20"/>
        </w:rPr>
        <w:t>Third parties mentioned on your medical record</w:t>
      </w:r>
      <w:bookmarkEnd w:id="7"/>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0"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1"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268D01F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A33E3A">
        <w:rPr>
          <w:rFonts w:ascii="Arial" w:hAnsi="Arial" w:cs="Arial"/>
          <w:color w:val="231F20"/>
          <w:sz w:val="20"/>
          <w:szCs w:val="20"/>
        </w:rPr>
        <w:t xml:space="preserve"> 4.10.2023</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5609F973" w14:textId="077209AF" w:rsidR="00A24734" w:rsidRPr="0049371B" w:rsidRDefault="000320A6" w:rsidP="00A24734">
      <w:pPr>
        <w:pStyle w:val="Heading1"/>
        <w:rPr>
          <w:rFonts w:ascii="Arial" w:hAnsi="Arial" w:cs="Arial"/>
          <w:b/>
          <w:bCs/>
          <w:color w:val="auto"/>
          <w:sz w:val="20"/>
          <w:szCs w:val="20"/>
        </w:rPr>
      </w:pPr>
      <w:bookmarkStart w:id="8" w:name="_Toc31368652"/>
      <w:r>
        <w:rPr>
          <w:rFonts w:ascii="Arial" w:hAnsi="Arial" w:cs="Arial"/>
          <w:b/>
          <w:bCs/>
          <w:color w:val="auto"/>
          <w:sz w:val="20"/>
          <w:szCs w:val="20"/>
        </w:rPr>
        <w:t>O</w:t>
      </w:r>
      <w:r w:rsidR="00A24734" w:rsidRPr="0049371B">
        <w:rPr>
          <w:rFonts w:ascii="Arial" w:hAnsi="Arial" w:cs="Arial"/>
          <w:b/>
          <w:bCs/>
          <w:color w:val="auto"/>
          <w:sz w:val="20"/>
          <w:szCs w:val="20"/>
        </w:rPr>
        <w:t>ur website</w:t>
      </w:r>
      <w:bookmarkEnd w:id="8"/>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9" w:name="_Toc31368653"/>
      <w:r w:rsidRPr="0049371B">
        <w:rPr>
          <w:rFonts w:ascii="Arial" w:hAnsi="Arial" w:cs="Arial"/>
          <w:b/>
          <w:bCs/>
          <w:color w:val="auto"/>
          <w:sz w:val="20"/>
          <w:szCs w:val="20"/>
        </w:rPr>
        <w:t>CCTV recording</w:t>
      </w:r>
      <w:bookmarkEnd w:id="9"/>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10" w:name="_Toc31368654"/>
      <w:r w:rsidRPr="0049371B">
        <w:rPr>
          <w:rFonts w:ascii="Arial" w:hAnsi="Arial" w:cs="Arial"/>
          <w:b/>
          <w:bCs/>
          <w:color w:val="auto"/>
          <w:sz w:val="20"/>
          <w:szCs w:val="20"/>
        </w:rPr>
        <w:t>Telephone system</w:t>
      </w:r>
      <w:bookmarkEnd w:id="10"/>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1E558590" w14:textId="431BC185"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0320A6">
        <w:rPr>
          <w:rFonts w:ascii="Arial" w:hAnsi="Arial" w:cs="Arial"/>
          <w:sz w:val="20"/>
          <w:szCs w:val="20"/>
        </w:rPr>
        <w:t>The Ridgeway Surgery</w:t>
      </w:r>
      <w:r w:rsidRPr="0049371B">
        <w:rPr>
          <w:rFonts w:ascii="Arial" w:hAnsi="Arial" w:cs="Arial"/>
          <w:sz w:val="20"/>
          <w:szCs w:val="20"/>
        </w:rPr>
        <w:t xml:space="preserve">  we are now obliged to inform </w:t>
      </w:r>
      <w:r w:rsidR="00A33E3A">
        <w:rPr>
          <w:rFonts w:ascii="Arial" w:hAnsi="Arial" w:cs="Arial"/>
          <w:sz w:val="20"/>
          <w:szCs w:val="20"/>
        </w:rPr>
        <w:t xml:space="preserve">Dudley Group of Hospitals </w:t>
      </w:r>
      <w:r w:rsidRPr="0049371B">
        <w:rPr>
          <w:rFonts w:ascii="Arial" w:hAnsi="Arial" w:cs="Arial"/>
          <w:sz w:val="20"/>
          <w:szCs w:val="20"/>
        </w:rPr>
        <w:t xml:space="preserve">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58009D" w:rsidP="007A3DA9">
      <w:pPr>
        <w:rPr>
          <w:rFonts w:ascii="Arial" w:hAnsi="Arial" w:cs="Arial"/>
          <w:sz w:val="20"/>
          <w:szCs w:val="20"/>
        </w:rPr>
      </w:pPr>
      <w:hyperlink r:id="rId62"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3"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83B58B7" w:rsidR="00FC6FFA"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37C72D64" w14:textId="6F2515B0" w:rsidR="00DA529A" w:rsidRDefault="00DA529A" w:rsidP="00FC6FFA">
      <w:pPr>
        <w:rPr>
          <w:rFonts w:ascii="Arial" w:hAnsi="Arial" w:cs="Arial"/>
          <w:sz w:val="20"/>
          <w:szCs w:val="20"/>
        </w:rPr>
      </w:pPr>
    </w:p>
    <w:p w14:paraId="4406A090" w14:textId="7AEFDA0B" w:rsidR="00265980" w:rsidRDefault="00265980" w:rsidP="00FC6FFA">
      <w:pPr>
        <w:jc w:val="both"/>
        <w:rPr>
          <w:rFonts w:ascii="Arial" w:hAnsi="Arial" w:cs="Arial"/>
          <w:sz w:val="20"/>
          <w:szCs w:val="20"/>
        </w:rPr>
      </w:pPr>
    </w:p>
    <w:p w14:paraId="5C09F160" w14:textId="77777777" w:rsidR="00DA529A" w:rsidRPr="0092526F" w:rsidRDefault="00DA529A" w:rsidP="00DA529A">
      <w:pPr>
        <w:rPr>
          <w:rFonts w:ascii="Arial" w:hAnsi="Arial" w:cs="Arial"/>
          <w:b/>
          <w:bCs/>
          <w:sz w:val="22"/>
          <w:szCs w:val="22"/>
        </w:rPr>
      </w:pPr>
      <w:r w:rsidRPr="0092526F">
        <w:rPr>
          <w:rFonts w:ascii="Arial" w:hAnsi="Arial" w:cs="Arial"/>
          <w:b/>
          <w:bCs/>
          <w:sz w:val="22"/>
          <w:szCs w:val="22"/>
        </w:rPr>
        <w:t>AccuRx Scribe</w:t>
      </w:r>
    </w:p>
    <w:p w14:paraId="047DE66A" w14:textId="77777777" w:rsidR="00DA529A" w:rsidRPr="0092526F" w:rsidRDefault="00DA529A" w:rsidP="00DA529A">
      <w:pPr>
        <w:pStyle w:val="NormalWeb"/>
        <w:rPr>
          <w:rFonts w:ascii="Arial" w:hAnsi="Arial" w:cs="Arial"/>
          <w:sz w:val="22"/>
          <w:szCs w:val="22"/>
        </w:rPr>
      </w:pPr>
      <w:r w:rsidRPr="0092526F">
        <w:rPr>
          <w:rFonts w:ascii="Arial" w:hAnsi="Arial" w:cs="Arial"/>
          <w:sz w:val="22"/>
          <w:szCs w:val="22"/>
        </w:rPr>
        <w:t>As part of the Digital First National programme of work, GP Practices are required to record accurate data about patient interaction, especially within consultations.  To assist with this administrative task, the practice is using a new technology known as AccuRX Scribe.</w:t>
      </w:r>
    </w:p>
    <w:p w14:paraId="6CFD319E" w14:textId="77777777" w:rsidR="00DA529A" w:rsidRPr="0092526F" w:rsidRDefault="00DA529A" w:rsidP="00DA529A">
      <w:pPr>
        <w:widowControl w:val="0"/>
        <w:pBdr>
          <w:top w:val="nil"/>
          <w:left w:val="nil"/>
          <w:bottom w:val="nil"/>
          <w:right w:val="nil"/>
          <w:between w:val="nil"/>
        </w:pBdr>
        <w:rPr>
          <w:rFonts w:ascii="Arial" w:hAnsi="Arial" w:cs="Arial"/>
          <w:sz w:val="22"/>
          <w:szCs w:val="22"/>
        </w:rPr>
      </w:pPr>
      <w:r w:rsidRPr="0092526F">
        <w:rPr>
          <w:rFonts w:ascii="Arial" w:hAnsi="Arial" w:cs="Arial"/>
          <w:sz w:val="22"/>
          <w:szCs w:val="22"/>
        </w:rPr>
        <w:t>The overall aim of the Accurx platform is to improve communications between healthcare staff and patients to improve outcomes and productivity. The Ambient Scribe feature specifically allows healthcare professionals to focus on listening to their patients during consultations, rather than typing or drafting documents. By reducing administrative tasks, it helps them dedicate more time to patient care and improving the overall quality of consultations.</w:t>
      </w:r>
      <w:r w:rsidRPr="0092526F">
        <w:rPr>
          <w:rFonts w:ascii="Arial" w:hAnsi="Arial" w:cs="Arial"/>
          <w:sz w:val="22"/>
          <w:szCs w:val="22"/>
        </w:rPr>
        <w:br/>
      </w:r>
      <w:r w:rsidRPr="0092526F">
        <w:rPr>
          <w:rFonts w:ascii="Arial" w:hAnsi="Arial" w:cs="Arial"/>
          <w:sz w:val="22"/>
          <w:szCs w:val="22"/>
        </w:rPr>
        <w:br/>
        <w:t xml:space="preserve">Therefore, the Accurx Scribe feature aims to transform and enhance the quality of clinical consultations and improve care outcomes for patients. The feature enables real-time transcription of consultations, allowing clinicians to focus fully on their patients rather than dividing their attention between conversation and typing up notes. This creates a more engaged and person-centred consultation experience, which supports improved communication and better patient satisfaction. </w:t>
      </w:r>
    </w:p>
    <w:p w14:paraId="486574AE" w14:textId="77777777" w:rsidR="00DA529A" w:rsidRPr="0092526F" w:rsidRDefault="00DA529A" w:rsidP="00DA529A">
      <w:pPr>
        <w:widowControl w:val="0"/>
        <w:pBdr>
          <w:top w:val="nil"/>
          <w:left w:val="nil"/>
          <w:bottom w:val="nil"/>
          <w:right w:val="nil"/>
          <w:between w:val="nil"/>
        </w:pBdr>
        <w:rPr>
          <w:rFonts w:ascii="Arial" w:hAnsi="Arial" w:cs="Arial"/>
          <w:sz w:val="22"/>
          <w:szCs w:val="22"/>
        </w:rPr>
      </w:pPr>
    </w:p>
    <w:p w14:paraId="773A21D5" w14:textId="77777777" w:rsidR="00DA529A" w:rsidRPr="0092526F" w:rsidRDefault="00DA529A" w:rsidP="00DA529A">
      <w:pPr>
        <w:widowControl w:val="0"/>
        <w:pBdr>
          <w:top w:val="nil"/>
          <w:left w:val="nil"/>
          <w:bottom w:val="nil"/>
          <w:right w:val="nil"/>
          <w:between w:val="nil"/>
        </w:pBdr>
        <w:rPr>
          <w:rFonts w:ascii="Arial" w:hAnsi="Arial" w:cs="Arial"/>
          <w:sz w:val="22"/>
          <w:szCs w:val="22"/>
        </w:rPr>
      </w:pPr>
      <w:r w:rsidRPr="0092526F">
        <w:rPr>
          <w:rFonts w:ascii="Arial" w:hAnsi="Arial" w:cs="Arial"/>
          <w:sz w:val="22"/>
          <w:szCs w:val="22"/>
        </w:rPr>
        <w:t xml:space="preserve"> In short, the Accurx Scribe feature does the following after it is manually started by the user:</w:t>
      </w:r>
    </w:p>
    <w:p w14:paraId="0C30D46E" w14:textId="77777777" w:rsidR="00DA529A" w:rsidRPr="0092526F" w:rsidRDefault="00DA529A" w:rsidP="00DA529A">
      <w:pPr>
        <w:widowControl w:val="0"/>
        <w:numPr>
          <w:ilvl w:val="0"/>
          <w:numId w:val="41"/>
        </w:numPr>
        <w:pBdr>
          <w:top w:val="nil"/>
          <w:left w:val="nil"/>
          <w:bottom w:val="nil"/>
          <w:right w:val="nil"/>
          <w:between w:val="nil"/>
        </w:pBdr>
        <w:rPr>
          <w:rFonts w:ascii="Arial" w:hAnsi="Arial" w:cs="Arial"/>
          <w:sz w:val="22"/>
          <w:szCs w:val="22"/>
        </w:rPr>
      </w:pPr>
      <w:r w:rsidRPr="0092526F">
        <w:rPr>
          <w:rFonts w:ascii="Arial" w:hAnsi="Arial" w:cs="Arial"/>
          <w:b/>
          <w:sz w:val="22"/>
          <w:szCs w:val="22"/>
        </w:rPr>
        <w:t xml:space="preserve">Listens </w:t>
      </w:r>
      <w:r w:rsidRPr="0092526F">
        <w:rPr>
          <w:rFonts w:ascii="Arial" w:hAnsi="Arial" w:cs="Arial"/>
          <w:sz w:val="22"/>
          <w:szCs w:val="22"/>
        </w:rPr>
        <w:t>to the</w:t>
      </w:r>
      <w:r w:rsidRPr="0092526F">
        <w:rPr>
          <w:rFonts w:ascii="Arial" w:hAnsi="Arial" w:cs="Arial"/>
          <w:b/>
          <w:sz w:val="22"/>
          <w:szCs w:val="22"/>
        </w:rPr>
        <w:t xml:space="preserve"> </w:t>
      </w:r>
      <w:r w:rsidRPr="0092526F">
        <w:rPr>
          <w:rFonts w:ascii="Arial" w:hAnsi="Arial" w:cs="Arial"/>
          <w:sz w:val="22"/>
          <w:szCs w:val="22"/>
        </w:rPr>
        <w:t xml:space="preserve">conversation a clinician has with their patient during the consultation. The audio stream is processed in real-time during conversations and </w:t>
      </w:r>
      <w:r w:rsidRPr="0092526F">
        <w:rPr>
          <w:rFonts w:ascii="Arial" w:hAnsi="Arial" w:cs="Arial"/>
          <w:sz w:val="22"/>
          <w:szCs w:val="22"/>
          <w:u w:val="single"/>
        </w:rPr>
        <w:t>automatically deleted</w:t>
      </w:r>
      <w:r w:rsidRPr="0092526F">
        <w:rPr>
          <w:rFonts w:ascii="Arial" w:hAnsi="Arial" w:cs="Arial"/>
          <w:sz w:val="22"/>
          <w:szCs w:val="22"/>
        </w:rPr>
        <w:t xml:space="preserve"> as soon as the audio is transcribed by Accurx Scribe. </w:t>
      </w:r>
    </w:p>
    <w:p w14:paraId="485230BD" w14:textId="77777777" w:rsidR="00DA529A" w:rsidRPr="0092526F" w:rsidRDefault="00DA529A" w:rsidP="00DA529A">
      <w:pPr>
        <w:widowControl w:val="0"/>
        <w:numPr>
          <w:ilvl w:val="0"/>
          <w:numId w:val="41"/>
        </w:numPr>
        <w:pBdr>
          <w:top w:val="nil"/>
          <w:left w:val="nil"/>
          <w:bottom w:val="nil"/>
          <w:right w:val="nil"/>
          <w:between w:val="nil"/>
        </w:pBdr>
        <w:rPr>
          <w:rFonts w:ascii="Arial" w:hAnsi="Arial" w:cs="Arial"/>
          <w:b/>
          <w:sz w:val="22"/>
          <w:szCs w:val="22"/>
        </w:rPr>
      </w:pPr>
      <w:r w:rsidRPr="0092526F">
        <w:rPr>
          <w:rFonts w:ascii="Arial" w:hAnsi="Arial" w:cs="Arial"/>
          <w:b/>
          <w:sz w:val="22"/>
          <w:szCs w:val="22"/>
        </w:rPr>
        <w:t xml:space="preserve">Transcribes </w:t>
      </w:r>
      <w:r w:rsidRPr="0092526F">
        <w:rPr>
          <w:rFonts w:ascii="Arial" w:hAnsi="Arial" w:cs="Arial"/>
          <w:sz w:val="22"/>
          <w:szCs w:val="22"/>
        </w:rPr>
        <w:t>the conversation</w:t>
      </w:r>
    </w:p>
    <w:p w14:paraId="1424A605" w14:textId="77777777" w:rsidR="00DA529A" w:rsidRPr="0092526F" w:rsidRDefault="00DA529A" w:rsidP="00DA529A">
      <w:pPr>
        <w:widowControl w:val="0"/>
        <w:numPr>
          <w:ilvl w:val="0"/>
          <w:numId w:val="41"/>
        </w:numPr>
        <w:pBdr>
          <w:top w:val="nil"/>
          <w:left w:val="nil"/>
          <w:bottom w:val="nil"/>
          <w:right w:val="nil"/>
          <w:between w:val="nil"/>
        </w:pBdr>
        <w:rPr>
          <w:rFonts w:ascii="Arial" w:hAnsi="Arial" w:cs="Arial"/>
          <w:b/>
          <w:sz w:val="22"/>
          <w:szCs w:val="22"/>
        </w:rPr>
      </w:pPr>
      <w:r w:rsidRPr="0092526F">
        <w:rPr>
          <w:rFonts w:ascii="Arial" w:hAnsi="Arial" w:cs="Arial"/>
          <w:b/>
          <w:sz w:val="22"/>
          <w:szCs w:val="22"/>
        </w:rPr>
        <w:t xml:space="preserve">Summarises </w:t>
      </w:r>
      <w:r w:rsidRPr="0092526F">
        <w:rPr>
          <w:rFonts w:ascii="Arial" w:hAnsi="Arial" w:cs="Arial"/>
          <w:sz w:val="22"/>
          <w:szCs w:val="22"/>
        </w:rPr>
        <w:t>the</w:t>
      </w:r>
      <w:r w:rsidRPr="0092526F">
        <w:rPr>
          <w:rFonts w:ascii="Arial" w:hAnsi="Arial" w:cs="Arial"/>
          <w:b/>
          <w:sz w:val="22"/>
          <w:szCs w:val="22"/>
        </w:rPr>
        <w:t xml:space="preserve"> </w:t>
      </w:r>
      <w:r w:rsidRPr="0092526F">
        <w:rPr>
          <w:rFonts w:ascii="Arial" w:hAnsi="Arial" w:cs="Arial"/>
          <w:sz w:val="22"/>
          <w:szCs w:val="22"/>
        </w:rPr>
        <w:t xml:space="preserve">transcription of the conversation </w:t>
      </w:r>
    </w:p>
    <w:p w14:paraId="5D01BBBF" w14:textId="77777777" w:rsidR="00DA529A" w:rsidRPr="0092526F" w:rsidRDefault="00DA529A" w:rsidP="00DA529A">
      <w:pPr>
        <w:widowControl w:val="0"/>
        <w:numPr>
          <w:ilvl w:val="0"/>
          <w:numId w:val="41"/>
        </w:numPr>
        <w:pBdr>
          <w:top w:val="nil"/>
          <w:left w:val="nil"/>
          <w:bottom w:val="nil"/>
          <w:right w:val="nil"/>
          <w:between w:val="nil"/>
        </w:pBdr>
        <w:rPr>
          <w:rFonts w:ascii="Arial" w:hAnsi="Arial" w:cs="Arial"/>
          <w:b/>
          <w:sz w:val="22"/>
          <w:szCs w:val="22"/>
        </w:rPr>
      </w:pPr>
      <w:r w:rsidRPr="0092526F">
        <w:rPr>
          <w:rFonts w:ascii="Arial" w:hAnsi="Arial" w:cs="Arial"/>
          <w:b/>
          <w:sz w:val="22"/>
          <w:szCs w:val="22"/>
        </w:rPr>
        <w:t xml:space="preserve">Generates content </w:t>
      </w:r>
      <w:r w:rsidRPr="0092526F">
        <w:rPr>
          <w:rFonts w:ascii="Arial" w:hAnsi="Arial" w:cs="Arial"/>
          <w:sz w:val="22"/>
          <w:szCs w:val="22"/>
        </w:rPr>
        <w:t>based on the transcription such as clinical notes, referral and/or patient letters</w:t>
      </w:r>
    </w:p>
    <w:p w14:paraId="268C757D" w14:textId="77777777" w:rsidR="00DA529A" w:rsidRPr="0092526F" w:rsidRDefault="00DA529A" w:rsidP="00DA529A">
      <w:pPr>
        <w:widowControl w:val="0"/>
        <w:numPr>
          <w:ilvl w:val="0"/>
          <w:numId w:val="41"/>
        </w:numPr>
        <w:pBdr>
          <w:top w:val="nil"/>
          <w:left w:val="nil"/>
          <w:bottom w:val="nil"/>
          <w:right w:val="nil"/>
          <w:between w:val="nil"/>
        </w:pBdr>
        <w:rPr>
          <w:rFonts w:ascii="Arial" w:hAnsi="Arial" w:cs="Arial"/>
          <w:sz w:val="22"/>
          <w:szCs w:val="22"/>
        </w:rPr>
      </w:pPr>
      <w:r w:rsidRPr="0092526F">
        <w:rPr>
          <w:rFonts w:ascii="Arial" w:hAnsi="Arial" w:cs="Arial"/>
          <w:b/>
          <w:sz w:val="22"/>
          <w:szCs w:val="22"/>
        </w:rPr>
        <w:t>Saves consultation notes and coding</w:t>
      </w:r>
      <w:r w:rsidRPr="0092526F">
        <w:rPr>
          <w:rFonts w:ascii="Arial" w:hAnsi="Arial" w:cs="Arial"/>
          <w:sz w:val="22"/>
          <w:szCs w:val="22"/>
        </w:rPr>
        <w:t xml:space="preserve"> back to the patient record</w:t>
      </w:r>
    </w:p>
    <w:p w14:paraId="758413D9" w14:textId="77777777" w:rsidR="00DA529A" w:rsidRPr="0092526F" w:rsidRDefault="00DA529A" w:rsidP="00DA529A">
      <w:pPr>
        <w:widowControl w:val="0"/>
        <w:rPr>
          <w:rFonts w:ascii="Arial" w:hAnsi="Arial" w:cs="Arial"/>
          <w:sz w:val="22"/>
          <w:szCs w:val="22"/>
        </w:rPr>
      </w:pPr>
      <w:r w:rsidRPr="0092526F">
        <w:rPr>
          <w:rFonts w:ascii="Arial" w:hAnsi="Arial" w:cs="Arial"/>
          <w:sz w:val="22"/>
          <w:szCs w:val="22"/>
        </w:rPr>
        <w:t>In addition to the risks and concerns identified by regulators and academia and listed in section 2.15, there have been public concerns over the processing and security of generative AI tools, which is the technology that powers the Ambient Scribe tools are, such as:</w:t>
      </w:r>
    </w:p>
    <w:p w14:paraId="66FA6B0F" w14:textId="77777777" w:rsidR="00DA529A" w:rsidRPr="0092526F" w:rsidRDefault="00DA529A" w:rsidP="00DA529A">
      <w:pPr>
        <w:widowControl w:val="0"/>
        <w:numPr>
          <w:ilvl w:val="0"/>
          <w:numId w:val="42"/>
        </w:numPr>
        <w:rPr>
          <w:rFonts w:ascii="Arial" w:hAnsi="Arial" w:cs="Arial"/>
          <w:sz w:val="22"/>
          <w:szCs w:val="22"/>
        </w:rPr>
      </w:pPr>
      <w:r w:rsidRPr="0092526F">
        <w:rPr>
          <w:rFonts w:ascii="Arial" w:hAnsi="Arial" w:cs="Arial"/>
          <w:b/>
          <w:sz w:val="22"/>
          <w:szCs w:val="22"/>
        </w:rPr>
        <w:t xml:space="preserve">Data Protection, Privacy and Security </w:t>
      </w:r>
      <w:r w:rsidRPr="0092526F">
        <w:rPr>
          <w:rFonts w:ascii="Arial" w:hAnsi="Arial" w:cs="Arial"/>
          <w:sz w:val="22"/>
          <w:szCs w:val="22"/>
        </w:rPr>
        <w:t xml:space="preserve">- ensuring that patient and health data is protected due to its sensitive and confidential nature, as well as embedding privacy and security into the design of the tool in order to maintain the confidentiality, integrity and availability of the data. </w:t>
      </w:r>
    </w:p>
    <w:p w14:paraId="2FEA08C6" w14:textId="77777777" w:rsidR="00DA529A" w:rsidRPr="0092526F" w:rsidRDefault="00DA529A" w:rsidP="00DA529A">
      <w:pPr>
        <w:widowControl w:val="0"/>
        <w:numPr>
          <w:ilvl w:val="0"/>
          <w:numId w:val="42"/>
        </w:numPr>
        <w:rPr>
          <w:rFonts w:ascii="Arial" w:hAnsi="Arial" w:cs="Arial"/>
          <w:sz w:val="22"/>
          <w:szCs w:val="22"/>
        </w:rPr>
      </w:pPr>
      <w:r w:rsidRPr="0092526F">
        <w:rPr>
          <w:rFonts w:ascii="Arial" w:hAnsi="Arial" w:cs="Arial"/>
          <w:b/>
          <w:sz w:val="22"/>
          <w:szCs w:val="22"/>
        </w:rPr>
        <w:t>Consent and transparency</w:t>
      </w:r>
      <w:r w:rsidRPr="0092526F">
        <w:rPr>
          <w:rFonts w:ascii="Arial" w:hAnsi="Arial" w:cs="Arial"/>
          <w:sz w:val="22"/>
          <w:szCs w:val="22"/>
        </w:rPr>
        <w:t xml:space="preserve"> - ensuring that patients are informed about the use of Ambient Scribes during their care and can exercise their rights of such a tool being used to process their data.</w:t>
      </w:r>
    </w:p>
    <w:p w14:paraId="405F641A" w14:textId="77777777" w:rsidR="00DA529A" w:rsidRPr="0092526F" w:rsidRDefault="00DA529A" w:rsidP="00DA529A">
      <w:pPr>
        <w:widowControl w:val="0"/>
        <w:numPr>
          <w:ilvl w:val="0"/>
          <w:numId w:val="42"/>
        </w:numPr>
        <w:rPr>
          <w:rFonts w:ascii="Arial" w:hAnsi="Arial" w:cs="Arial"/>
          <w:sz w:val="22"/>
          <w:szCs w:val="22"/>
        </w:rPr>
      </w:pPr>
      <w:r w:rsidRPr="0092526F">
        <w:rPr>
          <w:rFonts w:ascii="Arial" w:hAnsi="Arial" w:cs="Arial"/>
          <w:b/>
          <w:sz w:val="22"/>
          <w:szCs w:val="22"/>
        </w:rPr>
        <w:t>Ethical use and patient trust</w:t>
      </w:r>
      <w:r w:rsidRPr="0092526F">
        <w:rPr>
          <w:rFonts w:ascii="Arial" w:hAnsi="Arial" w:cs="Arial"/>
          <w:sz w:val="22"/>
          <w:szCs w:val="22"/>
        </w:rPr>
        <w:t xml:space="preserve"> - ensuring that ethical concerns regarding the use of AI in healthcare is addressed, especially around patients being informed, and the potential for reduced human oversight in clinical decision making. Therefore, ensuring that this feature enhances rather than replaces human interaction is crucial for maintaining patient confidence.</w:t>
      </w:r>
    </w:p>
    <w:p w14:paraId="269020EC" w14:textId="77777777" w:rsidR="00DA529A" w:rsidRPr="0092526F" w:rsidRDefault="00DA529A" w:rsidP="00DA529A">
      <w:pPr>
        <w:widowControl w:val="0"/>
        <w:rPr>
          <w:rFonts w:ascii="Arial" w:hAnsi="Arial" w:cs="Arial"/>
          <w:sz w:val="22"/>
          <w:szCs w:val="22"/>
        </w:rPr>
      </w:pPr>
    </w:p>
    <w:p w14:paraId="024BD1A8" w14:textId="77777777" w:rsidR="00DA529A" w:rsidRDefault="00DA529A" w:rsidP="00DA529A">
      <w:pPr>
        <w:widowControl w:val="0"/>
        <w:rPr>
          <w:rFonts w:ascii="Arial" w:hAnsi="Arial" w:cs="Arial"/>
          <w:sz w:val="22"/>
          <w:szCs w:val="22"/>
        </w:rPr>
      </w:pPr>
      <w:r w:rsidRPr="0092526F">
        <w:rPr>
          <w:rFonts w:ascii="Arial" w:hAnsi="Arial" w:cs="Arial"/>
          <w:sz w:val="22"/>
          <w:szCs w:val="22"/>
        </w:rPr>
        <w:t xml:space="preserve">To address all these concerns, Accurx has adopted a privacy and security by design and default approach when building the Accurx Scribe feature. This included carrying out in-depth and thorough due diligence to assess the risks and impact associated with this change to ensure compliance with the law and best practices, preserve patient safety, uphold our obligations as a supplier to the NHS and maintain Accurx’s reputation as a trusted supplier within healthcare. </w:t>
      </w:r>
    </w:p>
    <w:p w14:paraId="31B6DE4B" w14:textId="77777777" w:rsidR="00DA529A" w:rsidRDefault="00DA529A" w:rsidP="00DA529A">
      <w:pPr>
        <w:widowControl w:val="0"/>
        <w:rPr>
          <w:rFonts w:ascii="Arial" w:hAnsi="Arial" w:cs="Arial"/>
          <w:sz w:val="22"/>
          <w:szCs w:val="22"/>
        </w:rPr>
      </w:pPr>
    </w:p>
    <w:p w14:paraId="4F7AA8EE" w14:textId="77777777" w:rsidR="00DA529A" w:rsidRDefault="00DA529A" w:rsidP="00DA529A">
      <w:pPr>
        <w:widowControl w:val="0"/>
        <w:rPr>
          <w:rFonts w:ascii="Arial" w:hAnsi="Arial" w:cs="Arial"/>
          <w:sz w:val="22"/>
          <w:szCs w:val="22"/>
        </w:rPr>
      </w:pPr>
    </w:p>
    <w:p w14:paraId="2FAFA075" w14:textId="77777777" w:rsidR="00DA529A" w:rsidRPr="0092526F" w:rsidRDefault="00DA529A" w:rsidP="00DA529A">
      <w:pPr>
        <w:widowControl w:val="0"/>
        <w:rPr>
          <w:rFonts w:ascii="Arial" w:hAnsi="Arial" w:cs="Arial"/>
          <w:sz w:val="22"/>
          <w:szCs w:val="22"/>
        </w:rPr>
      </w:pPr>
    </w:p>
    <w:p w14:paraId="7FAB74DA" w14:textId="77777777" w:rsidR="00DA529A" w:rsidRPr="0092526F" w:rsidRDefault="00DA529A" w:rsidP="00DA529A">
      <w:pPr>
        <w:widowControl w:val="0"/>
        <w:rPr>
          <w:rFonts w:ascii="Arial" w:hAnsi="Arial" w:cs="Arial"/>
          <w:sz w:val="22"/>
          <w:szCs w:val="22"/>
        </w:rPr>
      </w:pPr>
    </w:p>
    <w:p w14:paraId="6FAED2EB" w14:textId="77777777" w:rsidR="00DA529A" w:rsidRDefault="00DA529A" w:rsidP="00DA529A">
      <w:pPr>
        <w:widowControl w:val="0"/>
        <w:rPr>
          <w:rFonts w:ascii="Arial" w:hAnsi="Arial" w:cs="Arial"/>
          <w:sz w:val="22"/>
          <w:szCs w:val="22"/>
        </w:rPr>
      </w:pPr>
      <w:r w:rsidRPr="0092526F">
        <w:rPr>
          <w:rFonts w:ascii="Arial" w:hAnsi="Arial" w:cs="Arial"/>
          <w:sz w:val="22"/>
          <w:szCs w:val="22"/>
        </w:rPr>
        <w:t xml:space="preserve">AccuRx have a framework in place that aligns with information security and governance practices based on our certifications and guidelines from the following standards/bodies: </w:t>
      </w:r>
    </w:p>
    <w:p w14:paraId="20DE67CD" w14:textId="77777777" w:rsidR="00DA529A" w:rsidRPr="0092526F" w:rsidRDefault="00DA529A" w:rsidP="00DA529A">
      <w:pPr>
        <w:widowControl w:val="0"/>
        <w:rPr>
          <w:rFonts w:ascii="Arial" w:hAnsi="Arial" w:cs="Arial"/>
          <w:sz w:val="22"/>
          <w:szCs w:val="22"/>
        </w:rPr>
      </w:pPr>
    </w:p>
    <w:p w14:paraId="0F40E2A4" w14:textId="77777777" w:rsidR="00DA529A" w:rsidRPr="0092526F" w:rsidRDefault="00DA529A" w:rsidP="00DA529A">
      <w:pPr>
        <w:widowControl w:val="0"/>
        <w:numPr>
          <w:ilvl w:val="0"/>
          <w:numId w:val="43"/>
        </w:numPr>
        <w:rPr>
          <w:rFonts w:ascii="Arial" w:hAnsi="Arial" w:cs="Arial"/>
          <w:sz w:val="22"/>
          <w:szCs w:val="22"/>
        </w:rPr>
      </w:pPr>
      <w:r w:rsidRPr="0092526F">
        <w:rPr>
          <w:rFonts w:ascii="Arial" w:hAnsi="Arial" w:cs="Arial"/>
          <w:sz w:val="22"/>
          <w:szCs w:val="22"/>
        </w:rPr>
        <w:t xml:space="preserve">ISO 27001:2022, </w:t>
      </w:r>
    </w:p>
    <w:p w14:paraId="474365C6" w14:textId="77777777" w:rsidR="00DA529A" w:rsidRPr="0092526F" w:rsidRDefault="00DA529A" w:rsidP="00DA529A">
      <w:pPr>
        <w:widowControl w:val="0"/>
        <w:numPr>
          <w:ilvl w:val="0"/>
          <w:numId w:val="43"/>
        </w:numPr>
        <w:rPr>
          <w:rFonts w:ascii="Arial" w:hAnsi="Arial" w:cs="Arial"/>
          <w:sz w:val="22"/>
          <w:szCs w:val="22"/>
        </w:rPr>
      </w:pPr>
      <w:r w:rsidRPr="0092526F">
        <w:rPr>
          <w:rFonts w:ascii="Arial" w:hAnsi="Arial" w:cs="Arial"/>
          <w:sz w:val="22"/>
          <w:szCs w:val="22"/>
        </w:rPr>
        <w:t xml:space="preserve">NHS England (DCB0129, ODS code 8JT17), NHS DSP Toolkit, </w:t>
      </w:r>
    </w:p>
    <w:p w14:paraId="7FA43F9B" w14:textId="77777777" w:rsidR="00DA529A" w:rsidRPr="0092526F" w:rsidRDefault="00DA529A" w:rsidP="00DA529A">
      <w:pPr>
        <w:widowControl w:val="0"/>
        <w:numPr>
          <w:ilvl w:val="0"/>
          <w:numId w:val="43"/>
        </w:numPr>
        <w:rPr>
          <w:rFonts w:ascii="Arial" w:hAnsi="Arial" w:cs="Arial"/>
          <w:sz w:val="22"/>
          <w:szCs w:val="22"/>
        </w:rPr>
      </w:pPr>
      <w:r w:rsidRPr="0092526F">
        <w:rPr>
          <w:rFonts w:ascii="Arial" w:hAnsi="Arial" w:cs="Arial"/>
          <w:sz w:val="22"/>
          <w:szCs w:val="22"/>
        </w:rPr>
        <w:t xml:space="preserve">UK National Cyber Security Centre, Cyber Essentials. </w:t>
      </w:r>
    </w:p>
    <w:p w14:paraId="5B2925FA" w14:textId="77777777" w:rsidR="00DA529A" w:rsidRPr="0092526F" w:rsidRDefault="00DA529A" w:rsidP="00DA529A">
      <w:pPr>
        <w:widowControl w:val="0"/>
        <w:numPr>
          <w:ilvl w:val="0"/>
          <w:numId w:val="43"/>
        </w:numPr>
        <w:rPr>
          <w:rFonts w:ascii="Arial" w:hAnsi="Arial" w:cs="Arial"/>
          <w:sz w:val="22"/>
          <w:szCs w:val="22"/>
        </w:rPr>
      </w:pPr>
      <w:r w:rsidRPr="0092526F">
        <w:rPr>
          <w:rFonts w:ascii="Arial" w:hAnsi="Arial" w:cs="Arial"/>
          <w:sz w:val="22"/>
          <w:szCs w:val="22"/>
        </w:rPr>
        <w:t>Our management systems are audited at least annually (externally) and more frequently internally.</w:t>
      </w:r>
    </w:p>
    <w:p w14:paraId="54A2CDA6" w14:textId="77777777" w:rsidR="00DA529A" w:rsidRDefault="00DA529A" w:rsidP="00DA529A">
      <w:pPr>
        <w:widowControl w:val="0"/>
      </w:pPr>
    </w:p>
    <w:p w14:paraId="04B82D61" w14:textId="77777777" w:rsidR="00DA529A" w:rsidRDefault="00DA529A" w:rsidP="00DA529A">
      <w:pPr>
        <w:pStyle w:val="NormalWeb"/>
        <w:rPr>
          <w:rFonts w:ascii="Arial" w:hAnsi="Arial" w:cs="Arial"/>
          <w:color w:val="4B5563"/>
          <w:sz w:val="20"/>
          <w:szCs w:val="20"/>
        </w:rPr>
      </w:pPr>
    </w:p>
    <w:p w14:paraId="28B18E13" w14:textId="77777777" w:rsidR="00DA529A" w:rsidRDefault="00DA529A" w:rsidP="00DA529A">
      <w:pPr>
        <w:pStyle w:val="NormalWeb"/>
        <w:rPr>
          <w:rFonts w:ascii="Arial" w:hAnsi="Arial" w:cs="Arial"/>
          <w:color w:val="4B5563"/>
          <w:sz w:val="20"/>
          <w:szCs w:val="20"/>
        </w:rPr>
      </w:pPr>
    </w:p>
    <w:p w14:paraId="3EA42C58" w14:textId="77777777" w:rsidR="00DA529A" w:rsidRDefault="00DA529A" w:rsidP="00DA529A">
      <w:pPr>
        <w:pStyle w:val="NormalWeb"/>
        <w:rPr>
          <w:rFonts w:ascii="Arial" w:hAnsi="Arial" w:cs="Arial"/>
          <w:color w:val="4B5563"/>
          <w:sz w:val="20"/>
          <w:szCs w:val="20"/>
        </w:rPr>
      </w:pPr>
    </w:p>
    <w:p w14:paraId="3B4603B6" w14:textId="77777777" w:rsidR="00DA529A" w:rsidRDefault="00DA529A" w:rsidP="00DA529A"/>
    <w:p w14:paraId="5E8CD666" w14:textId="77777777" w:rsidR="00DA529A" w:rsidRPr="0049371B" w:rsidRDefault="00DA529A" w:rsidP="00FC6FFA">
      <w:pPr>
        <w:jc w:val="both"/>
        <w:rPr>
          <w:rFonts w:ascii="Arial" w:hAnsi="Arial" w:cs="Arial"/>
          <w:sz w:val="20"/>
          <w:szCs w:val="20"/>
        </w:rPr>
      </w:pPr>
    </w:p>
    <w:sectPr w:rsidR="00DA529A"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53E2" w14:textId="77777777" w:rsidR="00B11CC1" w:rsidRDefault="00B11CC1" w:rsidP="00F51C46">
      <w:r>
        <w:separator/>
      </w:r>
    </w:p>
  </w:endnote>
  <w:endnote w:type="continuationSeparator" w:id="0">
    <w:p w14:paraId="79C39E88" w14:textId="77777777" w:rsidR="00B11CC1" w:rsidRDefault="00B11CC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186A" w14:textId="77777777" w:rsidR="00B11CC1" w:rsidRDefault="00B11CC1" w:rsidP="00F51C46">
      <w:r>
        <w:separator/>
      </w:r>
    </w:p>
  </w:footnote>
  <w:footnote w:type="continuationSeparator" w:id="0">
    <w:p w14:paraId="55A8C547" w14:textId="77777777" w:rsidR="00B11CC1" w:rsidRDefault="00B11CC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66B30"/>
    <w:multiLevelType w:val="multilevel"/>
    <w:tmpl w:val="DFA43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8C28A6"/>
    <w:multiLevelType w:val="multilevel"/>
    <w:tmpl w:val="5F9EB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392A6F"/>
    <w:multiLevelType w:val="multilevel"/>
    <w:tmpl w:val="4ECC6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5"/>
  </w:num>
  <w:num w:numId="3">
    <w:abstractNumId w:val="26"/>
  </w:num>
  <w:num w:numId="4">
    <w:abstractNumId w:val="17"/>
  </w:num>
  <w:num w:numId="5">
    <w:abstractNumId w:val="1"/>
  </w:num>
  <w:num w:numId="6">
    <w:abstractNumId w:val="38"/>
  </w:num>
  <w:num w:numId="7">
    <w:abstractNumId w:val="3"/>
  </w:num>
  <w:num w:numId="8">
    <w:abstractNumId w:val="2"/>
  </w:num>
  <w:num w:numId="9">
    <w:abstractNumId w:val="22"/>
  </w:num>
  <w:num w:numId="10">
    <w:abstractNumId w:val="0"/>
  </w:num>
  <w:num w:numId="11">
    <w:abstractNumId w:val="18"/>
  </w:num>
  <w:num w:numId="12">
    <w:abstractNumId w:val="33"/>
  </w:num>
  <w:num w:numId="13">
    <w:abstractNumId w:val="13"/>
  </w:num>
  <w:num w:numId="14">
    <w:abstractNumId w:val="41"/>
  </w:num>
  <w:num w:numId="15">
    <w:abstractNumId w:val="25"/>
  </w:num>
  <w:num w:numId="16">
    <w:abstractNumId w:val="32"/>
  </w:num>
  <w:num w:numId="17">
    <w:abstractNumId w:val="21"/>
  </w:num>
  <w:num w:numId="18">
    <w:abstractNumId w:val="42"/>
  </w:num>
  <w:num w:numId="19">
    <w:abstractNumId w:val="31"/>
  </w:num>
  <w:num w:numId="20">
    <w:abstractNumId w:val="15"/>
  </w:num>
  <w:num w:numId="21">
    <w:abstractNumId w:val="10"/>
  </w:num>
  <w:num w:numId="22">
    <w:abstractNumId w:val="27"/>
  </w:num>
  <w:num w:numId="23">
    <w:abstractNumId w:val="23"/>
  </w:num>
  <w:num w:numId="24">
    <w:abstractNumId w:val="12"/>
  </w:num>
  <w:num w:numId="25">
    <w:abstractNumId w:val="28"/>
  </w:num>
  <w:num w:numId="26">
    <w:abstractNumId w:val="16"/>
  </w:num>
  <w:num w:numId="27">
    <w:abstractNumId w:val="36"/>
  </w:num>
  <w:num w:numId="28">
    <w:abstractNumId w:val="9"/>
  </w:num>
  <w:num w:numId="29">
    <w:abstractNumId w:val="4"/>
  </w:num>
  <w:num w:numId="30">
    <w:abstractNumId w:val="34"/>
  </w:num>
  <w:num w:numId="31">
    <w:abstractNumId w:val="39"/>
  </w:num>
  <w:num w:numId="32">
    <w:abstractNumId w:val="6"/>
  </w:num>
  <w:num w:numId="33">
    <w:abstractNumId w:val="11"/>
  </w:num>
  <w:num w:numId="34">
    <w:abstractNumId w:val="19"/>
  </w:num>
  <w:num w:numId="35">
    <w:abstractNumId w:val="29"/>
  </w:num>
  <w:num w:numId="36">
    <w:abstractNumId w:val="8"/>
  </w:num>
  <w:num w:numId="37">
    <w:abstractNumId w:val="14"/>
  </w:num>
  <w:num w:numId="38">
    <w:abstractNumId w:val="37"/>
  </w:num>
  <w:num w:numId="39">
    <w:abstractNumId w:val="40"/>
  </w:num>
  <w:num w:numId="40">
    <w:abstractNumId w:val="20"/>
  </w:num>
  <w:num w:numId="41">
    <w:abstractNumId w:val="24"/>
  </w:num>
  <w:num w:numId="42">
    <w:abstractNumId w:val="5"/>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20A6"/>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80FDD"/>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009D"/>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7F7449"/>
    <w:rsid w:val="008021DF"/>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33E3A"/>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2B1C"/>
    <w:rsid w:val="00B94788"/>
    <w:rsid w:val="00BA057D"/>
    <w:rsid w:val="00BF4D87"/>
    <w:rsid w:val="00C13A3D"/>
    <w:rsid w:val="00C16543"/>
    <w:rsid w:val="00C16FFD"/>
    <w:rsid w:val="00C47616"/>
    <w:rsid w:val="00C62EAC"/>
    <w:rsid w:val="00C71581"/>
    <w:rsid w:val="00C87466"/>
    <w:rsid w:val="00CA5A4E"/>
    <w:rsid w:val="00CD665F"/>
    <w:rsid w:val="00CF37C0"/>
    <w:rsid w:val="00D00D64"/>
    <w:rsid w:val="00D20053"/>
    <w:rsid w:val="00D413C3"/>
    <w:rsid w:val="00D76E11"/>
    <w:rsid w:val="00D91DBE"/>
    <w:rsid w:val="00DA0F4F"/>
    <w:rsid w:val="00DA51F7"/>
    <w:rsid w:val="00DA529A"/>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26" Type="http://schemas.openxmlformats.org/officeDocument/2006/relationships/hyperlink" Target="https://digital.nhs.uk/services/data-access-request-service-dars/data-uses-register"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understandingpatientdata.org.uk/what-you-need-know" TargetMode="External"/><Relationship Id="rId63" Type="http://schemas.openxmlformats.org/officeDocument/2006/relationships/hyperlink" Target="mailto:Couldrey@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29" Type="http://schemas.openxmlformats.org/officeDocument/2006/relationships/hyperlink" Target="http://www.gov.uk/government/organisations/national-data-guardian"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hra.nhs.uk/information-about-patients/%20"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nhs.uk/your-nhs-data-matters" TargetMode="External"/><Relationship Id="rId58" Type="http://schemas.openxmlformats.org/officeDocument/2006/relationships/hyperlink" Target="https://www.optum.co.uk" TargetMode="External"/><Relationship Id="rId5" Type="http://schemas.openxmlformats.org/officeDocument/2006/relationships/webSettings" Target="webSetting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necsu.nhs.uk" TargetMode="External"/><Relationship Id="rId61" Type="http://schemas.openxmlformats.org/officeDocument/2006/relationships/hyperlink" Target="http://access.login.nhs.uk/enter-email" TargetMode="Externa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hyperlink" Target="https://digital.nhs.uk/data-and-information/publications/statistical/national-obesity-audit"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http://www.nhs.uk/nhs-ap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fontTable" Target="fontTable.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A8C1-699D-4ABF-8632-329F1AEA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13299</Words>
  <Characters>75806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Ella Thompson</cp:lastModifiedBy>
  <cp:revision>3</cp:revision>
  <cp:lastPrinted>2019-06-13T09:46:00Z</cp:lastPrinted>
  <dcterms:created xsi:type="dcterms:W3CDTF">2025-06-26T11:32:00Z</dcterms:created>
  <dcterms:modified xsi:type="dcterms:W3CDTF">2025-06-26T11:33:00Z</dcterms:modified>
</cp:coreProperties>
</file>